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ED" w:rsidRPr="00A34DED" w:rsidRDefault="00A34DED" w:rsidP="00A34DED">
      <w:pPr>
        <w:pBdr>
          <w:bottom w:val="single" w:sz="2" w:space="4" w:color="EEEEEE"/>
        </w:pBdr>
        <w:shd w:val="clear" w:color="auto" w:fill="FFFFFF"/>
        <w:spacing w:after="0" w:line="240" w:lineRule="auto"/>
        <w:outlineLvl w:val="1"/>
        <w:rPr>
          <w:rFonts w:ascii="Arial" w:eastAsia="Times New Roman" w:hAnsi="Arial" w:cs="Arial"/>
          <w:color w:val="000000"/>
          <w:sz w:val="32"/>
          <w:szCs w:val="32"/>
          <w:lang w:eastAsia="de-DE"/>
        </w:rPr>
      </w:pPr>
      <w:r w:rsidRPr="00A34DED">
        <w:rPr>
          <w:rFonts w:ascii="Arial" w:eastAsia="Times New Roman" w:hAnsi="Arial" w:cs="Arial"/>
          <w:color w:val="000000"/>
          <w:sz w:val="32"/>
          <w:szCs w:val="32"/>
          <w:lang w:eastAsia="de-DE"/>
        </w:rPr>
        <w:t>Differenzmenge Strom</w:t>
      </w:r>
    </w:p>
    <w:p w:rsidR="00A34DED" w:rsidRPr="00A34DED" w:rsidRDefault="00A34DED" w:rsidP="00A34DED">
      <w:pPr>
        <w:shd w:val="clear" w:color="auto" w:fill="FFFFFF"/>
        <w:spacing w:after="240" w:line="285" w:lineRule="atLeast"/>
        <w:rPr>
          <w:rFonts w:ascii="Arial" w:eastAsia="Times New Roman" w:hAnsi="Arial" w:cs="Arial"/>
          <w:color w:val="000000"/>
          <w:sz w:val="20"/>
          <w:szCs w:val="20"/>
          <w:lang w:eastAsia="de-DE"/>
        </w:rPr>
      </w:pPr>
      <w:r w:rsidRPr="00A34DED">
        <w:rPr>
          <w:rFonts w:ascii="Arial" w:eastAsia="Times New Roman" w:hAnsi="Arial" w:cs="Arial"/>
          <w:b/>
          <w:bCs/>
          <w:color w:val="000000"/>
          <w:sz w:val="20"/>
          <w:szCs w:val="20"/>
          <w:lang w:eastAsia="de-DE"/>
        </w:rPr>
        <w:t xml:space="preserve">Veröffentlichungspflicht gemäß § 12 Abs. 3 </w:t>
      </w:r>
      <w:proofErr w:type="spellStart"/>
      <w:r w:rsidRPr="00A34DED">
        <w:rPr>
          <w:rFonts w:ascii="Arial" w:eastAsia="Times New Roman" w:hAnsi="Arial" w:cs="Arial"/>
          <w:b/>
          <w:bCs/>
          <w:color w:val="000000"/>
          <w:sz w:val="20"/>
          <w:szCs w:val="20"/>
          <w:lang w:eastAsia="de-DE"/>
        </w:rPr>
        <w:t>StromNZV</w:t>
      </w:r>
      <w:proofErr w:type="spellEnd"/>
    </w:p>
    <w:p w:rsidR="00A34DED" w:rsidRPr="00A34DED" w:rsidRDefault="00A34DED" w:rsidP="00A34DED">
      <w:pPr>
        <w:shd w:val="clear" w:color="auto" w:fill="FFFFFF"/>
        <w:spacing w:after="240" w:line="285" w:lineRule="atLeast"/>
        <w:rPr>
          <w:rFonts w:ascii="Arial" w:eastAsia="Times New Roman" w:hAnsi="Arial" w:cs="Arial"/>
          <w:color w:val="000000"/>
          <w:sz w:val="20"/>
          <w:szCs w:val="20"/>
          <w:lang w:eastAsia="de-DE"/>
        </w:rPr>
      </w:pPr>
      <w:r w:rsidRPr="00A34DED">
        <w:rPr>
          <w:rFonts w:ascii="Arial" w:eastAsia="Times New Roman" w:hAnsi="Arial" w:cs="Arial"/>
          <w:color w:val="000000"/>
          <w:sz w:val="20"/>
          <w:szCs w:val="20"/>
          <w:lang w:eastAsia="de-DE"/>
        </w:rPr>
        <w:t xml:space="preserve">Nach § 12 Abs. 3 </w:t>
      </w:r>
      <w:proofErr w:type="spellStart"/>
      <w:r w:rsidRPr="00A34DED">
        <w:rPr>
          <w:rFonts w:ascii="Arial" w:eastAsia="Times New Roman" w:hAnsi="Arial" w:cs="Arial"/>
          <w:color w:val="000000"/>
          <w:sz w:val="20"/>
          <w:szCs w:val="20"/>
          <w:lang w:eastAsia="de-DE"/>
        </w:rPr>
        <w:t>StromNZV</w:t>
      </w:r>
      <w:proofErr w:type="spellEnd"/>
      <w:r w:rsidRPr="00A34DED">
        <w:rPr>
          <w:rFonts w:ascii="Arial" w:eastAsia="Times New Roman" w:hAnsi="Arial" w:cs="Arial"/>
          <w:color w:val="000000"/>
          <w:sz w:val="20"/>
          <w:szCs w:val="20"/>
          <w:lang w:eastAsia="de-DE"/>
        </w:rPr>
        <w:t xml:space="preserve"> sind die Betreiber von Elektrizitätsverteilernetzen verpflichtet, einen Differenzbilanzkreis zu führen, der ausschließlich die Abweichungen der Gesamtheit der Letztverbraucher mit einer jährlichen Entnahme von bis zu 100.000 Kilowattstunden oder einer individuell festgelegten anderen Grenze nach den Absätzen 1 und 2 von dem prognostizierten Verbrauch dieser Letztverbraucher erfasst.</w:t>
      </w:r>
    </w:p>
    <w:p w:rsidR="00A34DED" w:rsidRPr="00A34DED" w:rsidRDefault="00A34DED" w:rsidP="00A34DED">
      <w:pPr>
        <w:shd w:val="clear" w:color="auto" w:fill="FFFFFF"/>
        <w:spacing w:after="240" w:line="285" w:lineRule="atLeast"/>
        <w:rPr>
          <w:rFonts w:ascii="Arial" w:eastAsia="Times New Roman" w:hAnsi="Arial" w:cs="Arial"/>
          <w:color w:val="000000"/>
          <w:sz w:val="20"/>
          <w:szCs w:val="20"/>
          <w:lang w:eastAsia="de-DE"/>
        </w:rPr>
      </w:pPr>
      <w:r w:rsidRPr="00A34DED">
        <w:rPr>
          <w:rFonts w:ascii="Arial" w:eastAsia="Times New Roman" w:hAnsi="Arial" w:cs="Arial"/>
          <w:color w:val="000000"/>
          <w:sz w:val="20"/>
          <w:szCs w:val="20"/>
          <w:lang w:eastAsia="de-DE"/>
        </w:rPr>
        <w:t>Durch Anwendung des erweiterten analytischen Verfahrens zur Belieferung von Kunden mit einem Jahresverbrauch &lt; 100.000 kWh kommt es zu keiner Bewirtschaftung eines Differenzbilanzkreises.</w:t>
      </w:r>
    </w:p>
    <w:p w:rsidR="003937B0" w:rsidRDefault="00A34DED">
      <w:bookmarkStart w:id="0" w:name="_GoBack"/>
      <w:bookmarkEnd w:id="0"/>
    </w:p>
    <w:sectPr w:rsidR="003937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2D"/>
    <w:rsid w:val="00A16710"/>
    <w:rsid w:val="00A34DED"/>
    <w:rsid w:val="00C54A2D"/>
    <w:rsid w:val="00F67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A34DE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34DE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34D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34D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A34DE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34DE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34D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34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621778">
      <w:bodyDiv w:val="1"/>
      <w:marLeft w:val="0"/>
      <w:marRight w:val="0"/>
      <w:marTop w:val="0"/>
      <w:marBottom w:val="0"/>
      <w:divBdr>
        <w:top w:val="none" w:sz="0" w:space="0" w:color="auto"/>
        <w:left w:val="none" w:sz="0" w:space="0" w:color="auto"/>
        <w:bottom w:val="none" w:sz="0" w:space="0" w:color="auto"/>
        <w:right w:val="none" w:sz="0" w:space="0" w:color="auto"/>
      </w:divBdr>
      <w:divsChild>
        <w:div w:id="156402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582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stwboffice</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stahlr</dc:creator>
  <cp:lastModifiedBy>stahlr</cp:lastModifiedBy>
  <cp:revision>2</cp:revision>
  <dcterms:created xsi:type="dcterms:W3CDTF">2015-11-27T08:55:00Z</dcterms:created>
  <dcterms:modified xsi:type="dcterms:W3CDTF">2015-11-27T08:58:00Z</dcterms:modified>
</cp:coreProperties>
</file>